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B60B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405A978B" w14:textId="77777777" w:rsidR="009E2B2F" w:rsidRDefault="009E2B2F" w:rsidP="009E2B2F">
      <w:pPr>
        <w:pStyle w:val="sartttl"/>
        <w:jc w:val="both"/>
        <w:rPr>
          <w:shd w:val="clear" w:color="auto" w:fill="FFFFFF"/>
        </w:rPr>
      </w:pPr>
    </w:p>
    <w:p w14:paraId="6E747746" w14:textId="77777777" w:rsidR="009E2B2F" w:rsidRDefault="009E2B2F" w:rsidP="009E2B2F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42</w:t>
      </w:r>
    </w:p>
    <w:p w14:paraId="0510B916" w14:textId="77777777" w:rsidR="009E2B2F" w:rsidRDefault="009E2B2F" w:rsidP="009E2B2F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6D992FD2" w14:textId="77777777" w:rsidR="009E2B2F" w:rsidRDefault="009E2B2F" w:rsidP="009E2B2F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- 3.000 lei;</w:t>
      </w:r>
    </w:p>
    <w:p w14:paraId="28CC7949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- 150 lei;</w:t>
      </w:r>
    </w:p>
    <w:p w14:paraId="4755B1DF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oficine</w:t>
      </w:r>
      <w:proofErr w:type="spellEnd"/>
      <w:r>
        <w:rPr>
          <w:rStyle w:val="slitbdy"/>
          <w:rFonts w:eastAsia="Times New Roman"/>
        </w:rPr>
        <w:t xml:space="preserve"> locale de </w:t>
      </w:r>
      <w:proofErr w:type="spellStart"/>
      <w:r>
        <w:rPr>
          <w:rStyle w:val="slitbdy"/>
          <w:rFonts w:eastAsia="Times New Roman"/>
        </w:rPr>
        <w:t>distribuţie</w:t>
      </w:r>
      <w:proofErr w:type="spellEnd"/>
      <w:r>
        <w:rPr>
          <w:rStyle w:val="slitbdy"/>
          <w:rFonts w:eastAsia="Times New Roman"/>
        </w:rPr>
        <w:t xml:space="preserve"> - 100 lei;</w:t>
      </w:r>
    </w:p>
    <w:p w14:paraId="3D95955F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- 2.000 lei;</w:t>
      </w:r>
    </w:p>
    <w:p w14:paraId="2E9043CA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6F8573E5" w14:textId="77777777" w:rsidR="009E2B2F" w:rsidRDefault="009E2B2F" w:rsidP="009E2B2F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preschimbării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pierderii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6DBC1E63" w14:textId="77777777" w:rsidR="009E2B2F" w:rsidRDefault="009E2B2F" w:rsidP="009E2B2F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- 100 lei;</w:t>
      </w:r>
    </w:p>
    <w:p w14:paraId="64E6A217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7EE53C5F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înscrisă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percepe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taxă</w:t>
      </w:r>
      <w:proofErr w:type="spellEnd"/>
      <w:r>
        <w:rPr>
          <w:rStyle w:val="salnbdy"/>
          <w:rFonts w:eastAsia="Times New Roman"/>
        </w:rPr>
        <w:t xml:space="preserve"> de 50 de lei.</w:t>
      </w:r>
    </w:p>
    <w:p w14:paraId="3B49F78E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4)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cuantumul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taxelor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cel </w:t>
      </w:r>
      <w:proofErr w:type="spellStart"/>
      <w:r>
        <w:rPr>
          <w:rStyle w:val="salnbdy"/>
          <w:rFonts w:eastAsia="Times New Roman"/>
        </w:rPr>
        <w:t>prevăzut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</w:t>
      </w:r>
      <w:proofErr w:type="spellEnd"/>
      <w:r>
        <w:rPr>
          <w:rStyle w:val="salnbdy"/>
          <w:rFonts w:eastAsia="Times New Roman"/>
        </w:rPr>
        <w:t>.</w:t>
      </w:r>
    </w:p>
    <w:p w14:paraId="1FAAE3EC" w14:textId="77777777" w:rsidR="009E2B2F" w:rsidRDefault="009E2B2F" w:rsidP="009E2B2F">
      <w:pPr>
        <w:autoSpaceDE/>
        <w:autoSpaceDN/>
        <w:jc w:val="both"/>
      </w:pPr>
    </w:p>
    <w:p w14:paraId="79F68655" w14:textId="77777777" w:rsidR="009E2B2F" w:rsidRDefault="009E2B2F" w:rsidP="009E2B2F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018C7487" w14:textId="77777777" w:rsidR="009E2B2F" w:rsidRDefault="009E2B2F" w:rsidP="009E2B2F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5F0616" w14:textId="77777777" w:rsidR="009E2B2F" w:rsidRPr="00A612CB" w:rsidRDefault="009E2B2F" w:rsidP="009E2B2F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4C791F75" w14:textId="77777777" w:rsidR="009E2B2F" w:rsidRDefault="009E2B2F" w:rsidP="009E2B2F">
      <w:pPr>
        <w:autoSpaceDE/>
        <w:autoSpaceDN/>
        <w:spacing w:after="160" w:line="259" w:lineRule="auto"/>
      </w:pPr>
      <w:r>
        <w:br w:type="page"/>
      </w:r>
    </w:p>
    <w:p w14:paraId="7181FB87" w14:textId="77777777" w:rsidR="009E2B2F" w:rsidRDefault="009E2B2F" w:rsidP="003E046A">
      <w:pPr>
        <w:autoSpaceDE/>
        <w:autoSpaceDN/>
        <w:jc w:val="both"/>
        <w:rPr>
          <w:rStyle w:val="sden1"/>
          <w:rFonts w:eastAsia="Times New Roman"/>
        </w:rPr>
      </w:pPr>
    </w:p>
    <w:p w14:paraId="0C9E6F71" w14:textId="753E48F6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3525F767" w14:textId="77777777" w:rsidR="003E046A" w:rsidRDefault="003E046A" w:rsidP="003E046A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69911460" w14:textId="77777777" w:rsidR="00000000" w:rsidRDefault="00000000"/>
    <w:p w14:paraId="1FCC7748" w14:textId="77777777" w:rsidR="003E046A" w:rsidRDefault="003E046A"/>
    <w:p w14:paraId="607D2D02" w14:textId="77777777" w:rsidR="009E2B2F" w:rsidRDefault="009E2B2F" w:rsidP="009E2B2F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7.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Înfiinţarea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desfiinţarea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oficinelor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comunitare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rurale</w:t>
      </w:r>
      <w:proofErr w:type="spellEnd"/>
    </w:p>
    <w:p w14:paraId="3D34A0E9" w14:textId="77777777" w:rsidR="009E2B2F" w:rsidRDefault="009E2B2F" w:rsidP="009E2B2F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10</w:t>
      </w:r>
    </w:p>
    <w:p w14:paraId="270DD5CD" w14:textId="77777777" w:rsidR="009E2B2F" w:rsidRDefault="009E2B2F" w:rsidP="009E2B2F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oficinelor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rurale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localităţile</w:t>
      </w:r>
      <w:proofErr w:type="spellEnd"/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mediul</w:t>
      </w:r>
      <w:proofErr w:type="spellEnd"/>
      <w:r>
        <w:rPr>
          <w:rStyle w:val="salnbdy"/>
          <w:rFonts w:eastAsia="Times New Roman"/>
        </w:rPr>
        <w:t xml:space="preserve"> rural,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oficinelor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rurale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staţiunile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aflate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litoral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perioada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sezonului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estival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58CFD411" w14:textId="77777777" w:rsidR="009E2B2F" w:rsidRDefault="009E2B2F" w:rsidP="009E2B2F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2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8076BAA" w14:textId="77777777" w:rsidR="009E2B2F" w:rsidRDefault="009E2B2F" w:rsidP="009E2B2F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26. ,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FBA2A48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73F4D79B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13005224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înregistrare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menţiuni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înregistrarea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punctului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care se </w:t>
      </w:r>
      <w:proofErr w:type="spellStart"/>
      <w:r>
        <w:rPr>
          <w:rStyle w:val="slitbdy"/>
          <w:rFonts w:eastAsia="Times New Roman"/>
        </w:rPr>
        <w:t>solicită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eliberat</w:t>
      </w:r>
      <w:proofErr w:type="spellEnd"/>
      <w:r>
        <w:rPr>
          <w:rStyle w:val="slitbdy"/>
          <w:rFonts w:eastAsia="Times New Roman"/>
        </w:rPr>
        <w:t xml:space="preserve"> de ONRC;</w:t>
      </w:r>
    </w:p>
    <w:p w14:paraId="0E5BFA3C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>;</w:t>
      </w:r>
    </w:p>
    <w:p w14:paraId="799B8A63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</w:p>
    <w:p w14:paraId="5F18F9D0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rurale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coordonatoare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nominalizarea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asigură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</w:t>
      </w:r>
      <w:proofErr w:type="spellEnd"/>
      <w:r>
        <w:rPr>
          <w:rStyle w:val="slitbdy"/>
          <w:rFonts w:eastAsia="Times New Roman"/>
        </w:rPr>
        <w:t xml:space="preserve"> program;</w:t>
      </w:r>
    </w:p>
    <w:p w14:paraId="5C349885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liberală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rurale</w:t>
      </w:r>
      <w:proofErr w:type="spellEnd"/>
      <w:r>
        <w:rPr>
          <w:rStyle w:val="slitbdy"/>
          <w:rFonts w:eastAsia="Times New Roman"/>
        </w:rPr>
        <w:t>;</w:t>
      </w:r>
    </w:p>
    <w:p w14:paraId="68CC1F19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gramStart"/>
      <w:r>
        <w:rPr>
          <w:rStyle w:val="slitbdy"/>
          <w:rFonts w:eastAsia="Times New Roman"/>
        </w:rPr>
        <w:t>a</w:t>
      </w:r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rurale</w:t>
      </w:r>
      <w:proofErr w:type="spellEnd"/>
      <w:r>
        <w:rPr>
          <w:rStyle w:val="slitbdy"/>
          <w:rFonts w:eastAsia="Times New Roman"/>
        </w:rPr>
        <w:t>;</w:t>
      </w:r>
    </w:p>
    <w:p w14:paraId="79D1FACA" w14:textId="77777777" w:rsidR="009E2B2F" w:rsidRDefault="009E2B2F" w:rsidP="009E2B2F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j)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078F0921" w14:textId="77777777" w:rsidR="009E2B2F" w:rsidRDefault="009E2B2F" w:rsidP="009E2B2F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26. ,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155DE047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k)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4D71BA7D" w14:textId="77777777" w:rsidR="009E2B2F" w:rsidRDefault="009E2B2F" w:rsidP="009E2B2F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anexă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20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lucrătoare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primirii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spaţiul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însoţită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raportul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1F0C3E2E" w14:textId="77777777" w:rsidR="009E2B2F" w:rsidRDefault="009E2B2F" w:rsidP="009E2B2F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27. ,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3BA2C59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</w:rPr>
        <w:t>Oficinele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rurale</w:t>
      </w:r>
      <w:proofErr w:type="spellEnd"/>
      <w:r>
        <w:rPr>
          <w:rStyle w:val="salnbdy"/>
          <w:rFonts w:eastAsia="Times New Roman"/>
        </w:rPr>
        <w:t xml:space="preserve"> nu pot fi mutate, ci </w:t>
      </w:r>
      <w:proofErr w:type="spellStart"/>
      <w:r>
        <w:rPr>
          <w:rStyle w:val="salnbdy"/>
          <w:rFonts w:eastAsia="Times New Roman"/>
        </w:rPr>
        <w:t>doar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desfiinţate</w:t>
      </w:r>
      <w:proofErr w:type="spellEnd"/>
      <w:r>
        <w:rPr>
          <w:rStyle w:val="salnbdy"/>
          <w:rFonts w:eastAsia="Times New Roman"/>
        </w:rPr>
        <w:t>.</w:t>
      </w:r>
    </w:p>
    <w:p w14:paraId="084430AC" w14:textId="77777777" w:rsidR="009E2B2F" w:rsidRDefault="009E2B2F" w:rsidP="009E2B2F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sezoniere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înfiinţate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staţiunile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aflate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litoral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funcţionează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doar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perioada</w:t>
      </w:r>
      <w:proofErr w:type="spellEnd"/>
      <w:r>
        <w:rPr>
          <w:rStyle w:val="salnbdy"/>
          <w:rFonts w:eastAsia="Times New Roman"/>
          <w:color w:val="0000FF"/>
        </w:rPr>
        <w:t xml:space="preserve"> 1 mai-30 </w:t>
      </w:r>
      <w:proofErr w:type="spellStart"/>
      <w:r>
        <w:rPr>
          <w:rStyle w:val="salnbdy"/>
          <w:rFonts w:eastAsia="Times New Roman"/>
          <w:color w:val="0000FF"/>
        </w:rPr>
        <w:t>septembrie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fiecărui</w:t>
      </w:r>
      <w:proofErr w:type="spellEnd"/>
      <w:r>
        <w:rPr>
          <w:rStyle w:val="salnbdy"/>
          <w:rFonts w:eastAsia="Times New Roman"/>
          <w:color w:val="0000FF"/>
        </w:rPr>
        <w:t xml:space="preserve"> an.</w:t>
      </w:r>
    </w:p>
    <w:p w14:paraId="3B0BDDE6" w14:textId="77777777" w:rsidR="009E2B2F" w:rsidRDefault="009E2B2F" w:rsidP="009E2B2F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27. ,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514C88DC" w14:textId="77777777" w:rsidR="009E2B2F" w:rsidRDefault="009E2B2F" w:rsidP="009E2B2F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5)</w:t>
      </w:r>
      <w:r>
        <w:rPr>
          <w:rStyle w:val="salnbdy"/>
          <w:rFonts w:eastAsia="Times New Roman"/>
          <w:color w:val="0000FF"/>
        </w:rPr>
        <w:t>La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schimbarea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deţinătorului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- </w:t>
      </w:r>
      <w:proofErr w:type="spellStart"/>
      <w:r>
        <w:rPr>
          <w:rStyle w:val="salnbdy"/>
          <w:rFonts w:eastAsia="Times New Roman"/>
          <w:color w:val="0000FF"/>
        </w:rPr>
        <w:t>persoană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juridică</w:t>
      </w:r>
      <w:proofErr w:type="spellEnd"/>
      <w:r>
        <w:rPr>
          <w:rStyle w:val="salnbdy"/>
          <w:rFonts w:eastAsia="Times New Roman"/>
          <w:color w:val="0000FF"/>
        </w:rPr>
        <w:t xml:space="preserve">, la </w:t>
      </w:r>
      <w:proofErr w:type="spellStart"/>
      <w:r>
        <w:rPr>
          <w:rStyle w:val="salnbdy"/>
          <w:rFonts w:eastAsia="Times New Roman"/>
          <w:color w:val="0000FF"/>
        </w:rPr>
        <w:t>aceeaşi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adresă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condiţiile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stabilite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r>
        <w:rPr>
          <w:rStyle w:val="slgi1"/>
          <w:rFonts w:eastAsia="Times New Roman"/>
        </w:rPr>
        <w:t xml:space="preserve">art. 7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dacă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include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rurală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efectua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oficinei</w:t>
      </w:r>
      <w:proofErr w:type="spellEnd"/>
      <w:r>
        <w:rPr>
          <w:rStyle w:val="salnbdy"/>
          <w:rFonts w:eastAsia="Times New Roman"/>
          <w:color w:val="0000FF"/>
        </w:rPr>
        <w:t xml:space="preserve"> respective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fără</w:t>
      </w:r>
      <w:proofErr w:type="spellEnd"/>
      <w:r>
        <w:rPr>
          <w:rStyle w:val="salnbdy"/>
          <w:rFonts w:eastAsia="Times New Roman"/>
          <w:color w:val="0000FF"/>
        </w:rPr>
        <w:t xml:space="preserve"> a fi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nouă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partea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condiţia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stipulării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rurale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întocmită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schimbarea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deţinătorului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- </w:t>
      </w:r>
      <w:proofErr w:type="spellStart"/>
      <w:r>
        <w:rPr>
          <w:rStyle w:val="salnbdy"/>
          <w:rFonts w:eastAsia="Times New Roman"/>
          <w:color w:val="0000FF"/>
        </w:rPr>
        <w:t>persoană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juridică</w:t>
      </w:r>
      <w:proofErr w:type="spellEnd"/>
      <w:r>
        <w:rPr>
          <w:rStyle w:val="salnbdy"/>
          <w:rFonts w:eastAsia="Times New Roman"/>
          <w:color w:val="0000FF"/>
        </w:rPr>
        <w:t xml:space="preserve">, la </w:t>
      </w:r>
      <w:proofErr w:type="spellStart"/>
      <w:r>
        <w:rPr>
          <w:rStyle w:val="salnbdy"/>
          <w:rFonts w:eastAsia="Times New Roman"/>
          <w:color w:val="0000FF"/>
        </w:rPr>
        <w:t>aceeaşi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adresă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002B44A1" w14:textId="77777777" w:rsidR="009E2B2F" w:rsidRDefault="009E2B2F" w:rsidP="009E2B2F">
      <w:pPr>
        <w:pStyle w:val="NormalWeb"/>
        <w:spacing w:before="0" w:after="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10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7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6F48CC3" w14:textId="77777777" w:rsidR="009E2B2F" w:rsidRDefault="009E2B2F" w:rsidP="009E2B2F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11</w:t>
      </w:r>
    </w:p>
    <w:p w14:paraId="3EC8D821" w14:textId="77777777" w:rsidR="009E2B2F" w:rsidRDefault="009E2B2F" w:rsidP="009E2B2F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situaţia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oficina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rurală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desfiinţează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alnbdy"/>
          <w:rFonts w:eastAsia="Times New Roman"/>
          <w:color w:val="0000FF"/>
          <w:u w:val="single"/>
        </w:rPr>
        <w:t xml:space="preserve">art. 13 </w:t>
      </w:r>
      <w:proofErr w:type="spellStart"/>
      <w:r>
        <w:rPr>
          <w:rStyle w:val="salnbdy"/>
          <w:rFonts w:eastAsia="Times New Roman"/>
          <w:color w:val="0000FF"/>
          <w:u w:val="single"/>
        </w:rPr>
        <w:t>alin</w:t>
      </w:r>
      <w:proofErr w:type="spellEnd"/>
      <w:r>
        <w:rPr>
          <w:rStyle w:val="salnbdy"/>
          <w:rFonts w:eastAsia="Times New Roman"/>
          <w:color w:val="0000FF"/>
          <w:u w:val="single"/>
        </w:rPr>
        <w:t>. (5)</w:t>
      </w:r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lege</w:t>
      </w:r>
      <w:proofErr w:type="spellEnd"/>
      <w:r>
        <w:rPr>
          <w:rStyle w:val="salnbdy"/>
          <w:rFonts w:eastAsia="Times New Roman"/>
        </w:rPr>
        <w:t xml:space="preserve">,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vederea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>:</w:t>
      </w:r>
    </w:p>
    <w:p w14:paraId="3A18302E" w14:textId="77777777" w:rsidR="009E2B2F" w:rsidRDefault="009E2B2F" w:rsidP="009E2B2F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>;</w:t>
      </w:r>
    </w:p>
    <w:p w14:paraId="4CFD179F" w14:textId="77777777" w:rsidR="009E2B2F" w:rsidRDefault="009E2B2F" w:rsidP="009E2B2F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4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4801078" w14:textId="77777777" w:rsidR="009E2B2F" w:rsidRDefault="009E2B2F" w:rsidP="009E2B2F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28. ,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004A009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2C7C6E4F" w14:textId="77777777" w:rsidR="009E2B2F" w:rsidRDefault="009E2B2F" w:rsidP="009E2B2F">
      <w:pPr>
        <w:autoSpaceDE/>
        <w:autoSpaceDN/>
        <w:jc w:val="both"/>
        <w:rPr>
          <w:rStyle w:val="slitbdy"/>
          <w:color w:val="0000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CA09BE6" w14:textId="77777777" w:rsidR="009E2B2F" w:rsidRDefault="009E2B2F" w:rsidP="009E2B2F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28. ,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889A02A" w14:textId="77777777" w:rsidR="009E2B2F" w:rsidRDefault="009E2B2F" w:rsidP="009E2B2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maxim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depunerii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documentaţiei</w:t>
      </w:r>
      <w:proofErr w:type="spellEnd"/>
      <w:r>
        <w:rPr>
          <w:rStyle w:val="salnbdy"/>
          <w:rFonts w:eastAsia="Times New Roman"/>
        </w:rPr>
        <w:t xml:space="preserve"> complete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conforme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acesteia</w:t>
      </w:r>
      <w:proofErr w:type="spellEnd"/>
      <w:r>
        <w:rPr>
          <w:rStyle w:val="salnbdy"/>
          <w:rFonts w:eastAsia="Times New Roman"/>
        </w:rPr>
        <w:t xml:space="preserve"> nu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52D274C0" w14:textId="77777777" w:rsidR="009E2B2F" w:rsidRDefault="009E2B2F" w:rsidP="009E2B2F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  <w:color w:val="0000FF"/>
        </w:rPr>
        <w:t>Oficinele</w:t>
      </w:r>
      <w:proofErr w:type="spellEnd"/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rurale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înfiinţate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prevederile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alnbdy"/>
          <w:rFonts w:eastAsia="Times New Roman"/>
          <w:color w:val="0000FF"/>
          <w:u w:val="single"/>
        </w:rPr>
        <w:t xml:space="preserve">art. 13 </w:t>
      </w:r>
      <w:proofErr w:type="spellStart"/>
      <w:r>
        <w:rPr>
          <w:rStyle w:val="salnbdy"/>
          <w:rFonts w:eastAsia="Times New Roman"/>
          <w:color w:val="0000FF"/>
          <w:u w:val="single"/>
        </w:rPr>
        <w:t>alin</w:t>
      </w:r>
      <w:proofErr w:type="spellEnd"/>
      <w:r>
        <w:rPr>
          <w:rStyle w:val="salnbdy"/>
          <w:rFonts w:eastAsia="Times New Roman"/>
          <w:color w:val="0000FF"/>
          <w:u w:val="single"/>
        </w:rPr>
        <w:t xml:space="preserve">. (5) din </w:t>
      </w:r>
      <w:proofErr w:type="spellStart"/>
      <w:r>
        <w:rPr>
          <w:rStyle w:val="salnbdy"/>
          <w:rFonts w:eastAsia="Times New Roman"/>
          <w:color w:val="0000FF"/>
          <w:u w:val="single"/>
        </w:rPr>
        <w:t>lege</w:t>
      </w:r>
      <w:proofErr w:type="spellEnd"/>
      <w:r>
        <w:rPr>
          <w:rStyle w:val="salnbdy"/>
          <w:rFonts w:eastAsia="Times New Roman"/>
          <w:color w:val="0000FF"/>
        </w:rPr>
        <w:t xml:space="preserve"> sunt obligate </w:t>
      </w:r>
      <w:proofErr w:type="spellStart"/>
      <w:r>
        <w:rPr>
          <w:rStyle w:val="salnbdy"/>
          <w:rFonts w:eastAsia="Times New Roman"/>
          <w:color w:val="0000FF"/>
        </w:rPr>
        <w:t>să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înceteze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activitatea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notificarea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transmisă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electronic.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oficinele</w:t>
      </w:r>
      <w:proofErr w:type="spellEnd"/>
      <w:r>
        <w:rPr>
          <w:rStyle w:val="salnbdy"/>
          <w:rFonts w:eastAsia="Times New Roman"/>
          <w:color w:val="0000FF"/>
        </w:rPr>
        <w:t xml:space="preserve"> nu </w:t>
      </w:r>
      <w:proofErr w:type="spellStart"/>
      <w:r>
        <w:rPr>
          <w:rStyle w:val="salnbdy"/>
          <w:rFonts w:eastAsia="Times New Roman"/>
          <w:color w:val="0000FF"/>
        </w:rPr>
        <w:t>îşi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încetează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activitatea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termenul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stabilit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are </w:t>
      </w:r>
      <w:proofErr w:type="spellStart"/>
      <w:r>
        <w:rPr>
          <w:rStyle w:val="salnbdy"/>
          <w:rFonts w:eastAsia="Times New Roman"/>
          <w:color w:val="0000FF"/>
        </w:rPr>
        <w:t>dreptul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oficiu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anexă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închidere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gramStart"/>
      <w:r>
        <w:rPr>
          <w:rStyle w:val="salnbdy"/>
          <w:rFonts w:eastAsia="Times New Roman"/>
          <w:color w:val="0000FF"/>
        </w:rPr>
        <w:t>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oficinei</w:t>
      </w:r>
      <w:proofErr w:type="spellEnd"/>
      <w:r>
        <w:rPr>
          <w:rStyle w:val="salnbdy"/>
          <w:rFonts w:eastAsia="Times New Roman"/>
          <w:color w:val="0000FF"/>
        </w:rPr>
        <w:t xml:space="preserve"> respective, cu </w:t>
      </w:r>
      <w:proofErr w:type="spellStart"/>
      <w:r>
        <w:rPr>
          <w:rStyle w:val="salnbdy"/>
          <w:rFonts w:eastAsia="Times New Roman"/>
          <w:color w:val="0000FF"/>
        </w:rPr>
        <w:t>transmiterea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acesteia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unitatea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farmaceutică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cărei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oficină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desfiinţează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electronic.</w:t>
      </w:r>
    </w:p>
    <w:p w14:paraId="6ED5CF93" w14:textId="77777777" w:rsidR="009E2B2F" w:rsidRDefault="009E2B2F" w:rsidP="009E2B2F">
      <w:pPr>
        <w:pStyle w:val="NormalWeb"/>
        <w:spacing w:before="0" w:after="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11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7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26,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6594C294" w14:textId="77777777" w:rsidR="00431A83" w:rsidRDefault="00431A83"/>
    <w:p w14:paraId="75872D52" w14:textId="77777777" w:rsidR="009E2B2F" w:rsidRDefault="009E2B2F"/>
    <w:p w14:paraId="0CD8BF55" w14:textId="77777777" w:rsidR="009E2B2F" w:rsidRDefault="009E2B2F" w:rsidP="009E2B2F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2</w:t>
      </w:r>
    </w:p>
    <w:p w14:paraId="7230D932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Către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Publică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Judeţului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</w:t>
      </w:r>
    </w:p>
    <w:p w14:paraId="570951A4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adresa:.....................................................................,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Raportului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Deciziei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1B8DF1CC" w14:textId="77777777" w:rsidR="009E2B2F" w:rsidRDefault="009E2B2F" w:rsidP="009E2B2F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2F81E432" w14:textId="77777777" w:rsidR="009E2B2F" w:rsidRDefault="009E2B2F" w:rsidP="009E2B2F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251C17C6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41C8D6F4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50EB282E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687148DF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5D057CE2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3694DD31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07F67AA5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15CBB741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4341EBA4" w14:textId="77777777" w:rsidR="009E2B2F" w:rsidRDefault="009E2B2F" w:rsidP="009E2B2F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52F9C0CD" w14:textId="77777777" w:rsidR="009E2B2F" w:rsidRDefault="009E2B2F" w:rsidP="009E2B2F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2666A96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E13EED5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DBE4243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700D8DC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68C4590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2E5596C1" w14:textId="77777777" w:rsidR="009E2B2F" w:rsidRDefault="009E2B2F" w:rsidP="009E2B2F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2485441B" w14:textId="77777777" w:rsidR="009E2B2F" w:rsidRDefault="009E2B2F" w:rsidP="009E2B2F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2792790E" w14:textId="77777777" w:rsidR="009E2B2F" w:rsidRDefault="009E2B2F" w:rsidP="009E2B2F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393ADF3C" w14:textId="77777777" w:rsidR="009E2B2F" w:rsidRDefault="009E2B2F" w:rsidP="009E2B2F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2292CFC6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9E2B2F" w14:paraId="151B06E9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A3A3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3F4793B5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37FA6B62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1CF66645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33BE2C79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CFBC5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6A1377ED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07ECA441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1C660D55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121A46CE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56BF8832" w14:textId="77777777" w:rsidR="009E2B2F" w:rsidRDefault="009E2B2F"/>
    <w:p w14:paraId="4F82D151" w14:textId="77777777" w:rsidR="009E2B2F" w:rsidRDefault="009E2B2F"/>
    <w:p w14:paraId="1CEF3F85" w14:textId="77777777" w:rsidR="009E2B2F" w:rsidRDefault="009E2B2F"/>
    <w:p w14:paraId="2A6C38B8" w14:textId="77777777" w:rsidR="009E2B2F" w:rsidRDefault="009E2B2F"/>
    <w:p w14:paraId="7223424A" w14:textId="77777777" w:rsidR="009E2B2F" w:rsidRDefault="009E2B2F"/>
    <w:p w14:paraId="6A35E437" w14:textId="77777777" w:rsidR="009E2B2F" w:rsidRDefault="009E2B2F"/>
    <w:p w14:paraId="61E88F27" w14:textId="77777777" w:rsidR="009E2B2F" w:rsidRDefault="009E2B2F"/>
    <w:p w14:paraId="7943F156" w14:textId="77777777" w:rsidR="009E2B2F" w:rsidRDefault="009E2B2F"/>
    <w:p w14:paraId="772F51BF" w14:textId="77777777" w:rsidR="009E2B2F" w:rsidRDefault="009E2B2F"/>
    <w:p w14:paraId="15351832" w14:textId="77777777" w:rsidR="009E2B2F" w:rsidRDefault="009E2B2F"/>
    <w:p w14:paraId="3137951D" w14:textId="77777777" w:rsidR="009E2B2F" w:rsidRDefault="009E2B2F"/>
    <w:p w14:paraId="567C9AC5" w14:textId="77777777" w:rsidR="009E2B2F" w:rsidRDefault="009E2B2F"/>
    <w:p w14:paraId="111BBDB2" w14:textId="77777777" w:rsidR="009E2B2F" w:rsidRDefault="009E2B2F"/>
    <w:p w14:paraId="3D693652" w14:textId="77777777" w:rsidR="009E2B2F" w:rsidRDefault="009E2B2F"/>
    <w:p w14:paraId="59EFB1D1" w14:textId="77777777" w:rsidR="009E2B2F" w:rsidRDefault="009E2B2F"/>
    <w:p w14:paraId="2EEED568" w14:textId="77777777" w:rsidR="009E2B2F" w:rsidRDefault="009E2B2F"/>
    <w:p w14:paraId="40526821" w14:textId="77777777" w:rsidR="009E2B2F" w:rsidRDefault="009E2B2F"/>
    <w:p w14:paraId="5611D0DC" w14:textId="77777777" w:rsidR="009E2B2F" w:rsidRDefault="009E2B2F" w:rsidP="009E2B2F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4</w:t>
      </w:r>
    </w:p>
    <w:p w14:paraId="048668E2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33725B3A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DIRECŢIA FARMACEUTICĂ ŞI DISPOZITIVE MEDICALE </w:t>
      </w:r>
    </w:p>
    <w:p w14:paraId="45229198" w14:textId="77777777" w:rsidR="009E2B2F" w:rsidRDefault="009E2B2F" w:rsidP="009E2B2F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/a, 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....................., e-mail 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/cod fiscal 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rog </w:t>
      </w:r>
      <w:proofErr w:type="spellStart"/>
      <w:r>
        <w:rPr>
          <w:rStyle w:val="spar3"/>
          <w:rFonts w:eastAsia="Times New Roman"/>
          <w:color w:val="0000FF"/>
          <w:specVanish w:val="0"/>
        </w:rPr>
        <w:t>să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emiteţi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Anexa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modificarea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condiţiilor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iniţiale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respectiv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5A383FAC" w14:textId="77777777" w:rsidR="009E2B2F" w:rsidRDefault="009E2B2F" w:rsidP="009E2B2F">
      <w:pPr>
        <w:pStyle w:val="spar"/>
        <w:ind w:left="450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AEF7FF4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10C7EA6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276352F7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8728B19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4D4F0EDB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CF9BA0D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3638467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5BDB2AAC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0200FEBA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B38CACE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CC94B9B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</w:t>
      </w:r>
    </w:p>
    <w:p w14:paraId="61665325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</w:t>
      </w:r>
    </w:p>
    <w:p w14:paraId="2D90AA7A" w14:textId="77777777" w:rsidR="009E2B2F" w:rsidRDefault="009E2B2F" w:rsidP="009E2B2F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21E8E3B6" w14:textId="77777777" w:rsidR="009E2B2F" w:rsidRDefault="009E2B2F" w:rsidP="009E2B2F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7E748B57" w14:textId="77777777" w:rsidR="009E2B2F" w:rsidRDefault="009E2B2F" w:rsidP="009E2B2F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58127AB8" w14:textId="77777777" w:rsidR="009E2B2F" w:rsidRDefault="009E2B2F" w:rsidP="009E2B2F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..........................................................</w:t>
      </w:r>
    </w:p>
    <w:p w14:paraId="57FAD742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9E2B2F" w14:paraId="41DE297B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0E6D4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0244236B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0B0F6F87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6A365599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417ED153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2648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2D967CC9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013E02B1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42F9E158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746CAC9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04D0B73A" w14:textId="77777777" w:rsidR="009E2B2F" w:rsidRDefault="009E2B2F"/>
    <w:p w14:paraId="07906254" w14:textId="77777777" w:rsidR="00B43F30" w:rsidRDefault="00B43F30" w:rsidP="00B43F30">
      <w:pPr>
        <w:jc w:val="both"/>
      </w:pPr>
    </w:p>
    <w:p w14:paraId="302471F8" w14:textId="77777777" w:rsidR="009E2B2F" w:rsidRDefault="009E2B2F" w:rsidP="00B43F30">
      <w:pPr>
        <w:jc w:val="both"/>
      </w:pPr>
    </w:p>
    <w:p w14:paraId="6850DB1A" w14:textId="77777777" w:rsidR="009E2B2F" w:rsidRDefault="009E2B2F" w:rsidP="00B43F30">
      <w:pPr>
        <w:jc w:val="both"/>
      </w:pPr>
    </w:p>
    <w:p w14:paraId="6ED3F410" w14:textId="77777777" w:rsidR="009E2B2F" w:rsidRDefault="009E2B2F" w:rsidP="00B43F30">
      <w:pPr>
        <w:jc w:val="both"/>
      </w:pPr>
    </w:p>
    <w:p w14:paraId="40056A74" w14:textId="77777777" w:rsidR="009E2B2F" w:rsidRDefault="009E2B2F" w:rsidP="00B43F30">
      <w:pPr>
        <w:jc w:val="both"/>
      </w:pPr>
    </w:p>
    <w:p w14:paraId="4D46A2C6" w14:textId="77777777" w:rsidR="009E2B2F" w:rsidRDefault="009E2B2F" w:rsidP="00B43F30">
      <w:pPr>
        <w:jc w:val="both"/>
      </w:pPr>
    </w:p>
    <w:p w14:paraId="7C2A1A8D" w14:textId="77777777" w:rsidR="009E2B2F" w:rsidRDefault="009E2B2F" w:rsidP="00B43F30">
      <w:pPr>
        <w:jc w:val="both"/>
      </w:pPr>
    </w:p>
    <w:p w14:paraId="7DC3C446" w14:textId="77777777" w:rsidR="009E2B2F" w:rsidRDefault="009E2B2F" w:rsidP="00B43F30">
      <w:pPr>
        <w:jc w:val="both"/>
      </w:pPr>
    </w:p>
    <w:p w14:paraId="6ED00630" w14:textId="77777777" w:rsidR="009E2B2F" w:rsidRDefault="009E2B2F" w:rsidP="00B43F30">
      <w:pPr>
        <w:jc w:val="both"/>
      </w:pPr>
    </w:p>
    <w:p w14:paraId="7C25BAB4" w14:textId="77777777" w:rsidR="009E2B2F" w:rsidRDefault="009E2B2F" w:rsidP="00B43F30">
      <w:pPr>
        <w:jc w:val="both"/>
      </w:pPr>
    </w:p>
    <w:p w14:paraId="025C2EDD" w14:textId="77777777" w:rsidR="009E2B2F" w:rsidRDefault="009E2B2F" w:rsidP="00B43F30">
      <w:pPr>
        <w:jc w:val="both"/>
      </w:pPr>
    </w:p>
    <w:p w14:paraId="0095C7C1" w14:textId="77777777" w:rsidR="009E2B2F" w:rsidRDefault="009E2B2F" w:rsidP="00B43F30">
      <w:pPr>
        <w:jc w:val="both"/>
      </w:pPr>
    </w:p>
    <w:p w14:paraId="27D9861E" w14:textId="77777777" w:rsidR="009E2B2F" w:rsidRDefault="009E2B2F" w:rsidP="00B43F30">
      <w:pPr>
        <w:jc w:val="both"/>
      </w:pPr>
    </w:p>
    <w:p w14:paraId="5EA7691F" w14:textId="77777777" w:rsidR="009E2B2F" w:rsidRDefault="009E2B2F" w:rsidP="00B43F30">
      <w:pPr>
        <w:jc w:val="both"/>
      </w:pPr>
    </w:p>
    <w:p w14:paraId="4AF722B6" w14:textId="77777777" w:rsidR="009E2B2F" w:rsidRDefault="009E2B2F" w:rsidP="00B43F30">
      <w:pPr>
        <w:jc w:val="both"/>
      </w:pPr>
    </w:p>
    <w:p w14:paraId="1B8B1D4A" w14:textId="77777777" w:rsidR="009E2B2F" w:rsidRDefault="009E2B2F" w:rsidP="00B43F30">
      <w:pPr>
        <w:jc w:val="both"/>
      </w:pPr>
    </w:p>
    <w:p w14:paraId="7631F5FE" w14:textId="77777777" w:rsidR="009E2B2F" w:rsidRDefault="009E2B2F" w:rsidP="00B43F30">
      <w:pPr>
        <w:jc w:val="both"/>
      </w:pPr>
    </w:p>
    <w:p w14:paraId="077491B2" w14:textId="77777777" w:rsidR="009E2B2F" w:rsidRDefault="009E2B2F" w:rsidP="00B43F30">
      <w:pPr>
        <w:jc w:val="both"/>
      </w:pPr>
    </w:p>
    <w:p w14:paraId="2F3BEB33" w14:textId="77777777" w:rsidR="009E2B2F" w:rsidRDefault="009E2B2F" w:rsidP="009E2B2F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7</w:t>
      </w:r>
    </w:p>
    <w:p w14:paraId="28BABDAC" w14:textId="77777777" w:rsidR="009E2B2F" w:rsidRDefault="009E2B2F" w:rsidP="009E2B2F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1F0B4787" w14:textId="77777777" w:rsidR="009E2B2F" w:rsidRDefault="009E2B2F" w:rsidP="009E2B2F">
      <w:pPr>
        <w:autoSpaceDE/>
        <w:autoSpaceDN/>
        <w:ind w:left="450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 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………, e-mail 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 cod fiscal 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informez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cadrul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societăţii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sanitare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..................................................au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intervenit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următoarele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0EC3C9EE" w14:textId="77777777" w:rsidR="009E2B2F" w:rsidRDefault="009E2B2F" w:rsidP="009E2B2F">
      <w:pPr>
        <w:pStyle w:val="spar"/>
        <w:ind w:left="675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082678AB" w14:textId="77777777" w:rsidR="009E2B2F" w:rsidRDefault="009E2B2F" w:rsidP="009E2B2F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46EFFD5B" w14:textId="77777777" w:rsidR="009E2B2F" w:rsidRDefault="009E2B2F" w:rsidP="009E2B2F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7FD75F9A" w14:textId="77777777" w:rsidR="009E2B2F" w:rsidRDefault="009E2B2F" w:rsidP="009E2B2F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047B8518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</w:t>
      </w:r>
    </w:p>
    <w:p w14:paraId="11AD9DCC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C8B57CD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8B43242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3F8DF33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D977D79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7B54B8D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120035D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42DE7E4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0025FF42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CBE29E5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365A0265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61ABA81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3A71AA39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359C31DC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431A701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FE0A249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27BEAAF4" w14:textId="77777777" w:rsidR="009E2B2F" w:rsidRDefault="009E2B2F" w:rsidP="009E2B2F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9E2B2F" w14:paraId="5478AD00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23B6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1EB3EB7D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775DE33D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67E38A47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1F3CAE05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C2B1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16F5E814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72D510C4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72F136AC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2ACB4DE9" w14:textId="77777777" w:rsidR="009E2B2F" w:rsidRDefault="009E2B2F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677283EC" w14:textId="77777777" w:rsidR="009E2B2F" w:rsidRDefault="009E2B2F" w:rsidP="00B43F30">
      <w:pPr>
        <w:jc w:val="both"/>
      </w:pPr>
    </w:p>
    <w:sectPr w:rsidR="009E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9"/>
    <w:rsid w:val="000D4AE8"/>
    <w:rsid w:val="002F067E"/>
    <w:rsid w:val="003E046A"/>
    <w:rsid w:val="00431A83"/>
    <w:rsid w:val="004932DE"/>
    <w:rsid w:val="00844F32"/>
    <w:rsid w:val="009E2B2F"/>
    <w:rsid w:val="00A53F26"/>
    <w:rsid w:val="00B43F30"/>
    <w:rsid w:val="00C66C69"/>
    <w:rsid w:val="00CA2C95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3E1D"/>
  <w15:chartTrackingRefBased/>
  <w15:docId w15:val="{C8C80F75-3C67-4237-9905-03808A16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6A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dr">
    <w:name w:val="s_hdr"/>
    <w:basedOn w:val="Normal"/>
    <w:rsid w:val="003E046A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3E046A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ttl">
    <w:name w:val="s_art_ttl"/>
    <w:basedOn w:val="Normal"/>
    <w:rsid w:val="003E046A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character" w:customStyle="1" w:styleId="salnttl1">
    <w:name w:val="s_aln_ttl1"/>
    <w:basedOn w:val="DefaultParagraphFont"/>
    <w:rsid w:val="003E046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3E046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3E046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E046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3E046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B43F3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B43F30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B43F3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B43F3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9E2B2F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pctttl1">
    <w:name w:val="s_pct_ttl1"/>
    <w:basedOn w:val="DefaultParagraphFont"/>
    <w:rsid w:val="009E2B2F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9E2B2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1">
    <w:name w:val="s_par1"/>
    <w:basedOn w:val="Normal"/>
    <w:rsid w:val="009E2B2F"/>
    <w:pPr>
      <w:autoSpaceDE/>
      <w:autoSpaceDN/>
    </w:pPr>
    <w:rPr>
      <w:rFonts w:eastAsiaTheme="minorEastAs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3</cp:revision>
  <dcterms:created xsi:type="dcterms:W3CDTF">2025-03-14T12:06:00Z</dcterms:created>
  <dcterms:modified xsi:type="dcterms:W3CDTF">2025-03-14T12:10:00Z</dcterms:modified>
</cp:coreProperties>
</file>